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43" w:rsidRDefault="00907A43" w:rsidP="00907A43">
      <w:pPr>
        <w:rPr>
          <w:sz w:val="16"/>
          <w:szCs w:val="16"/>
        </w:rPr>
      </w:pPr>
    </w:p>
    <w:p w:rsidR="00907A43" w:rsidRDefault="00907A43" w:rsidP="00907A43">
      <w:pPr>
        <w:rPr>
          <w:sz w:val="16"/>
          <w:szCs w:val="16"/>
        </w:rPr>
      </w:pPr>
    </w:p>
    <w:p w:rsidR="005A58CF" w:rsidRDefault="005A58CF" w:rsidP="00907A43">
      <w:pPr>
        <w:rPr>
          <w:sz w:val="16"/>
          <w:szCs w:val="16"/>
        </w:rPr>
      </w:pPr>
    </w:p>
    <w:p w:rsidR="00907A43" w:rsidRPr="00AE4258" w:rsidRDefault="00907A43" w:rsidP="00907A43">
      <w:pPr>
        <w:rPr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5491480" cy="457200"/>
                <wp:effectExtent l="4445" t="127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A43" w:rsidRPr="00834BB2" w:rsidRDefault="005A58CF" w:rsidP="00907A43">
                            <w:pPr>
                              <w:pStyle w:val="Heading1"/>
                              <w:spacing w:before="80"/>
                              <w:jc w:val="center"/>
                              <w:rPr>
                                <w:color w:val="FFFFFF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lang w:val="en-AU"/>
                              </w:rPr>
                              <w:t>Crisis response</w:t>
                            </w:r>
                            <w:r w:rsidR="00907A43" w:rsidRPr="00C62964"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="00907A43" w:rsidRPr="00C62964">
                              <w:rPr>
                                <w:color w:val="FFFFFF"/>
                              </w:rPr>
                              <w:t>Policy</w:t>
                            </w:r>
                            <w:r w:rsidR="00834BB2">
                              <w:rPr>
                                <w:color w:val="FFFFFF"/>
                                <w:lang w:val="en-AU"/>
                              </w:rPr>
                              <w:t xml:space="preserve">  </w:t>
                            </w:r>
                            <w:r w:rsidR="00834BB2" w:rsidRPr="00834BB2">
                              <w:rPr>
                                <w:color w:val="FFFFFF"/>
                                <w:sz w:val="24"/>
                                <w:szCs w:val="24"/>
                                <w:lang w:val="en-AU"/>
                              </w:rPr>
                              <w:t>ERJ</w:t>
                            </w:r>
                            <w:proofErr w:type="gramEnd"/>
                            <w:r w:rsidR="000101E4">
                              <w:rPr>
                                <w:color w:val="FFFFFF"/>
                                <w:sz w:val="24"/>
                                <w:szCs w:val="24"/>
                                <w:lang w:val="en-AU"/>
                              </w:rPr>
                              <w:t xml:space="preserve"> 1.6.2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14.2pt;width:432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" fillcolor="black" stroked="f">
                <v:textbox>
                  <w:txbxContent>
                    <w:p w:rsidR="00907A43" w:rsidRPr="00834BB2" w:rsidRDefault="005A58CF" w:rsidP="00907A43">
                      <w:pPr>
                        <w:pStyle w:val="Heading1"/>
                        <w:spacing w:before="80"/>
                        <w:jc w:val="center"/>
                        <w:rPr>
                          <w:color w:val="FFFFFF"/>
                          <w:lang w:val="en-AU"/>
                        </w:rPr>
                      </w:pPr>
                      <w:r>
                        <w:rPr>
                          <w:color w:val="FFFFFF"/>
                          <w:lang w:val="en-AU"/>
                        </w:rPr>
                        <w:t>Crisis response</w:t>
                      </w:r>
                      <w:r w:rsidR="00907A43" w:rsidRPr="00C62964"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 w:rsidR="00907A43" w:rsidRPr="00C62964">
                        <w:rPr>
                          <w:color w:val="FFFFFF"/>
                        </w:rPr>
                        <w:t>Policy</w:t>
                      </w:r>
                      <w:r w:rsidR="00834BB2">
                        <w:rPr>
                          <w:color w:val="FFFFFF"/>
                          <w:lang w:val="en-AU"/>
                        </w:rPr>
                        <w:t xml:space="preserve">  </w:t>
                      </w:r>
                      <w:r w:rsidR="00834BB2" w:rsidRPr="00834BB2">
                        <w:rPr>
                          <w:color w:val="FFFFFF"/>
                          <w:sz w:val="24"/>
                          <w:szCs w:val="24"/>
                          <w:lang w:val="en-AU"/>
                        </w:rPr>
                        <w:t>ERJ</w:t>
                      </w:r>
                      <w:proofErr w:type="gramEnd"/>
                      <w:r w:rsidR="000101E4">
                        <w:rPr>
                          <w:color w:val="FFFFFF"/>
                          <w:sz w:val="24"/>
                          <w:szCs w:val="24"/>
                          <w:lang w:val="en-AU"/>
                        </w:rPr>
                        <w:t xml:space="preserve"> 1.6.2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8CF" w:rsidRDefault="005A58CF" w:rsidP="005A58CF">
      <w:pPr>
        <w:pStyle w:val="Heading2"/>
      </w:pPr>
    </w:p>
    <w:p w:rsidR="005A58CF" w:rsidRPr="00AE4258" w:rsidRDefault="005A58CF" w:rsidP="005A58CF">
      <w:pPr>
        <w:pStyle w:val="Heading2"/>
      </w:pPr>
      <w:r w:rsidRPr="00AE4258">
        <w:t>Introduction</w:t>
      </w:r>
    </w:p>
    <w:p w:rsidR="005A58CF" w:rsidRDefault="005A58CF" w:rsidP="005A58CF">
      <w:r>
        <w:t xml:space="preserve">Unforeseen incidents may occur at short notice that must be dealt with urgently outside the standard policy framework.  While precise procedures cannot be laid down, there is a need for a general policy to guide the </w:t>
      </w:r>
      <w:proofErr w:type="spellStart"/>
      <w:r>
        <w:t>organisational</w:t>
      </w:r>
      <w:proofErr w:type="spellEnd"/>
      <w:r>
        <w:t xml:space="preserve"> response to crisis. </w:t>
      </w:r>
    </w:p>
    <w:p w:rsidR="005A58CF" w:rsidRPr="00713D43" w:rsidRDefault="005A58CF" w:rsidP="005A58CF"/>
    <w:p w:rsidR="005A58CF" w:rsidRPr="00AE4258" w:rsidRDefault="005A58CF" w:rsidP="005A58CF">
      <w:pPr>
        <w:pStyle w:val="Heading2"/>
      </w:pPr>
      <w:r w:rsidRPr="00AE4258">
        <w:t>Purpose</w:t>
      </w:r>
    </w:p>
    <w:p w:rsidR="005A58CF" w:rsidRDefault="005A58CF" w:rsidP="005A58CF">
      <w:r>
        <w:rPr>
          <w:lang w:val="en-GB"/>
        </w:rPr>
        <w:t xml:space="preserve">The Crisis Response Policy is intended to facilitate the management of a crisis within Edmund Rice Justice </w:t>
      </w:r>
      <w:proofErr w:type="spellStart"/>
      <w:r>
        <w:rPr>
          <w:lang w:val="en-GB"/>
        </w:rPr>
        <w:t>Aotearoa</w:t>
      </w:r>
      <w:proofErr w:type="spellEnd"/>
      <w:r>
        <w:rPr>
          <w:lang w:val="en-GB"/>
        </w:rPr>
        <w:t xml:space="preserve"> New Zealand Trust to minimise risks to people and property, to protect the reputation of Edmund Rice Justice </w:t>
      </w:r>
      <w:proofErr w:type="spellStart"/>
      <w:r>
        <w:rPr>
          <w:lang w:val="en-GB"/>
        </w:rPr>
        <w:t>Aotearoa</w:t>
      </w:r>
      <w:proofErr w:type="spellEnd"/>
      <w:r>
        <w:rPr>
          <w:lang w:val="en-GB"/>
        </w:rPr>
        <w:t xml:space="preserve"> New Zealand and to implement urgent recovery procedures.</w:t>
      </w:r>
      <w:r w:rsidRPr="00713D43">
        <w:t xml:space="preserve"> </w:t>
      </w:r>
    </w:p>
    <w:p w:rsidR="005A58CF" w:rsidRPr="00713D43" w:rsidRDefault="005A58CF" w:rsidP="005A58CF"/>
    <w:p w:rsidR="005A58CF" w:rsidRPr="00AE4258" w:rsidRDefault="005A58CF" w:rsidP="005A58CF">
      <w:pPr>
        <w:pStyle w:val="Heading2"/>
      </w:pPr>
      <w:r w:rsidRPr="00AE4258">
        <w:t>Policy</w:t>
      </w:r>
    </w:p>
    <w:p w:rsidR="005A58CF" w:rsidRDefault="005A58CF" w:rsidP="005A58CF">
      <w:r>
        <w:t xml:space="preserve">Management of the physical aspects of any crisis (fire, flood, etc.) will be handled according to plans drawn up under </w:t>
      </w:r>
      <w:r>
        <w:rPr>
          <w:lang w:val="en-GB"/>
        </w:rPr>
        <w:t xml:space="preserve">Edmund Rice Justice </w:t>
      </w:r>
      <w:proofErr w:type="spellStart"/>
      <w:r>
        <w:rPr>
          <w:lang w:val="en-GB"/>
        </w:rPr>
        <w:t>Aotearoa</w:t>
      </w:r>
      <w:proofErr w:type="spellEnd"/>
      <w:r>
        <w:rPr>
          <w:lang w:val="en-GB"/>
        </w:rPr>
        <w:t xml:space="preserve"> New Zealand</w:t>
      </w:r>
      <w:r w:rsidRPr="005B41FD">
        <w:rPr>
          <w:lang w:val="en-GB"/>
        </w:rPr>
        <w:t>’s</w:t>
      </w:r>
      <w:r w:rsidRPr="006269C7">
        <w:rPr>
          <w:color w:val="808080"/>
          <w:lang w:val="en-GB"/>
        </w:rPr>
        <w:t xml:space="preserve"> </w:t>
      </w:r>
      <w:r>
        <w:t>Health and Sa</w:t>
      </w:r>
      <w:r w:rsidR="00D9197A">
        <w:t xml:space="preserve">fety procedures.  The Crisis </w:t>
      </w:r>
      <w:r>
        <w:t xml:space="preserve">Policy Committee (see Crisis Response Procedures) shall address managerial, media, and budgeting issues. </w:t>
      </w:r>
    </w:p>
    <w:p w:rsidR="005A58CF" w:rsidRPr="00287A8D" w:rsidRDefault="005A58CF" w:rsidP="005A58CF"/>
    <w:p w:rsidR="005A58CF" w:rsidRPr="00AE4258" w:rsidRDefault="005A58CF" w:rsidP="005A58CF">
      <w:pPr>
        <w:pStyle w:val="Heading2"/>
      </w:pPr>
      <w:r w:rsidRPr="00AE4258">
        <w:t>Authorisation</w:t>
      </w:r>
    </w:p>
    <w:p w:rsidR="005A58CF" w:rsidRDefault="005A58CF" w:rsidP="005A58CF">
      <w:pPr>
        <w:rPr>
          <w:color w:val="808080"/>
          <w:szCs w:val="22"/>
        </w:rPr>
      </w:pPr>
    </w:p>
    <w:p w:rsidR="005A58CF" w:rsidRDefault="005A58CF" w:rsidP="005A58CF">
      <w:pPr>
        <w:rPr>
          <w:color w:val="808080"/>
          <w:szCs w:val="22"/>
        </w:rPr>
      </w:pPr>
      <w:r>
        <w:rPr>
          <w:color w:val="808080"/>
          <w:szCs w:val="22"/>
        </w:rPr>
        <w:t xml:space="preserve">______________   </w:t>
      </w:r>
    </w:p>
    <w:p w:rsidR="005A58CF" w:rsidRDefault="005A58CF" w:rsidP="005A58CF">
      <w:pPr>
        <w:rPr>
          <w:color w:val="808080"/>
          <w:szCs w:val="22"/>
        </w:rPr>
      </w:pPr>
      <w:r>
        <w:rPr>
          <w:color w:val="808080"/>
          <w:szCs w:val="22"/>
        </w:rPr>
        <w:t>Chair</w:t>
      </w:r>
    </w:p>
    <w:p w:rsidR="005A58CF" w:rsidRPr="00FF2025" w:rsidRDefault="000101E4" w:rsidP="005A58CF">
      <w:pPr>
        <w:rPr>
          <w:color w:val="808080"/>
          <w:szCs w:val="22"/>
        </w:rPr>
      </w:pPr>
      <w:r>
        <w:rPr>
          <w:color w:val="808080"/>
          <w:szCs w:val="22"/>
        </w:rPr>
        <w:t>19</w:t>
      </w:r>
      <w:r w:rsidRPr="000101E4">
        <w:rPr>
          <w:color w:val="808080"/>
          <w:szCs w:val="22"/>
          <w:vertAlign w:val="superscript"/>
        </w:rPr>
        <w:t>th</w:t>
      </w:r>
      <w:r>
        <w:rPr>
          <w:color w:val="808080"/>
          <w:szCs w:val="22"/>
        </w:rPr>
        <w:t xml:space="preserve"> May 2014</w:t>
      </w:r>
      <w:r w:rsidR="005A58CF">
        <w:rPr>
          <w:color w:val="808080"/>
          <w:szCs w:val="22"/>
        </w:rPr>
        <w:br/>
      </w:r>
      <w:r w:rsidR="005A58CF">
        <w:rPr>
          <w:lang w:val="en-GB"/>
        </w:rPr>
        <w:t xml:space="preserve">Edmund Rice Justice </w:t>
      </w:r>
      <w:proofErr w:type="spellStart"/>
      <w:r w:rsidR="005A58CF">
        <w:rPr>
          <w:lang w:val="en-GB"/>
        </w:rPr>
        <w:t>Aotearoa</w:t>
      </w:r>
      <w:proofErr w:type="spellEnd"/>
      <w:r w:rsidR="005A58CF">
        <w:rPr>
          <w:lang w:val="en-GB"/>
        </w:rPr>
        <w:t xml:space="preserve"> New Zealand</w:t>
      </w:r>
      <w:r w:rsidR="00B77A75">
        <w:rPr>
          <w:lang w:val="en-GB"/>
        </w:rPr>
        <w:t xml:space="preserve"> Trust</w:t>
      </w:r>
    </w:p>
    <w:p w:rsidR="005A58CF" w:rsidRPr="00AE4258" w:rsidRDefault="005A58CF" w:rsidP="005A58CF">
      <w:pPr>
        <w:rPr>
          <w:szCs w:val="22"/>
        </w:rPr>
      </w:pPr>
    </w:p>
    <w:p w:rsidR="005A58CF" w:rsidRPr="00AE4258" w:rsidRDefault="005A58CF" w:rsidP="005A58CF"/>
    <w:p w:rsidR="005A58CF" w:rsidRPr="00AE4258" w:rsidRDefault="005A58CF" w:rsidP="005A58CF">
      <w:pPr>
        <w:spacing w:before="0" w:after="0"/>
        <w:sectPr w:rsidR="005A58CF" w:rsidRPr="00AE4258" w:rsidSect="00B32F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800" w:bottom="1440" w:left="1800" w:header="708" w:footer="708" w:gutter="0"/>
          <w:cols w:space="708"/>
          <w:titlePg/>
        </w:sectPr>
      </w:pPr>
    </w:p>
    <w:p w:rsidR="005A58CF" w:rsidRDefault="005A58CF" w:rsidP="005A58CF">
      <w:pPr>
        <w:spacing w:before="40" w:after="60"/>
        <w:rPr>
          <w:sz w:val="16"/>
          <w:szCs w:val="16"/>
        </w:rPr>
      </w:pPr>
    </w:p>
    <w:p w:rsidR="005A58CF" w:rsidRDefault="005A58CF" w:rsidP="005A58CF">
      <w:pPr>
        <w:spacing w:before="40" w:after="60"/>
        <w:rPr>
          <w:sz w:val="16"/>
          <w:szCs w:val="16"/>
        </w:rPr>
      </w:pPr>
    </w:p>
    <w:p w:rsidR="005A58CF" w:rsidRPr="00AE4258" w:rsidRDefault="005A58CF" w:rsidP="005A58CF">
      <w:pPr>
        <w:spacing w:before="40" w:after="60"/>
        <w:rPr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210820</wp:posOffset>
                </wp:positionV>
                <wp:extent cx="5481320" cy="482600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1320" cy="4826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A58CF" w:rsidRPr="005A58CF" w:rsidRDefault="005A58CF" w:rsidP="005A58CF">
                            <w:pPr>
                              <w:pStyle w:val="Heading1"/>
                              <w:spacing w:before="80"/>
                              <w:jc w:val="center"/>
                              <w:rPr>
                                <w:color w:val="FFFFFF"/>
                                <w:lang w:val="en-AU"/>
                              </w:rPr>
                            </w:pPr>
                            <w:r w:rsidRPr="00BE3232">
                              <w:rPr>
                                <w:color w:val="FFFFFF"/>
                              </w:rPr>
                              <w:t>Crisis Response Procedures</w:t>
                            </w:r>
                            <w:r>
                              <w:rPr>
                                <w:color w:val="FFFFFF"/>
                                <w:lang w:val="en-AU"/>
                              </w:rPr>
                              <w:t xml:space="preserve"> </w:t>
                            </w:r>
                            <w:r w:rsidRPr="00834BB2">
                              <w:rPr>
                                <w:color w:val="FFFFFF"/>
                                <w:sz w:val="24"/>
                                <w:szCs w:val="24"/>
                                <w:lang w:val="en-AU"/>
                              </w:rPr>
                              <w:t>ERJ</w:t>
                            </w:r>
                            <w:r w:rsidR="000101E4">
                              <w:rPr>
                                <w:color w:val="FFFFFF"/>
                                <w:sz w:val="24"/>
                                <w:szCs w:val="24"/>
                                <w:lang w:val="en-AU"/>
                              </w:rPr>
                              <w:t xml:space="preserve"> 1.6.2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4pt;margin-top:16.6pt;width:431.6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" fillcolor="#595959" stroked="f">
                <v:path arrowok="t"/>
                <v:textbox>
                  <w:txbxContent>
                    <w:p w:rsidR="005A58CF" w:rsidRPr="005A58CF" w:rsidRDefault="005A58CF" w:rsidP="005A58CF">
                      <w:pPr>
                        <w:pStyle w:val="Heading1"/>
                        <w:spacing w:before="80"/>
                        <w:jc w:val="center"/>
                        <w:rPr>
                          <w:color w:val="FFFFFF"/>
                          <w:lang w:val="en-AU"/>
                        </w:rPr>
                      </w:pPr>
                      <w:r w:rsidRPr="00BE3232">
                        <w:rPr>
                          <w:color w:val="FFFFFF"/>
                        </w:rPr>
                        <w:t>Crisis Response Procedures</w:t>
                      </w:r>
                      <w:r>
                        <w:rPr>
                          <w:color w:val="FFFFFF"/>
                          <w:lang w:val="en-AU"/>
                        </w:rPr>
                        <w:t xml:space="preserve"> </w:t>
                      </w:r>
                      <w:r w:rsidRPr="00834BB2">
                        <w:rPr>
                          <w:color w:val="FFFFFF"/>
                          <w:sz w:val="24"/>
                          <w:szCs w:val="24"/>
                          <w:lang w:val="en-AU"/>
                        </w:rPr>
                        <w:t>ERJ</w:t>
                      </w:r>
                      <w:r w:rsidR="000101E4">
                        <w:rPr>
                          <w:color w:val="FFFFFF"/>
                          <w:sz w:val="24"/>
                          <w:szCs w:val="24"/>
                          <w:lang w:val="en-AU"/>
                        </w:rPr>
                        <w:t xml:space="preserve"> 1.6.2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8CF" w:rsidRDefault="005A58CF" w:rsidP="005A58CF">
      <w:pPr>
        <w:pStyle w:val="Heading2"/>
      </w:pPr>
    </w:p>
    <w:p w:rsidR="005A58CF" w:rsidRPr="00AE4258" w:rsidRDefault="005A58CF" w:rsidP="005A58CF">
      <w:pPr>
        <w:pStyle w:val="Heading2"/>
      </w:pPr>
      <w:r w:rsidRPr="00AE4258">
        <w:t>Responsibilities</w:t>
      </w:r>
    </w:p>
    <w:p w:rsidR="005A58CF" w:rsidRDefault="005A58CF" w:rsidP="005A58CF">
      <w:r>
        <w:t>The Board is responsible for establishing a Crisis Response Committee with appropriate delegated powers.</w:t>
      </w:r>
    </w:p>
    <w:p w:rsidR="005A58CF" w:rsidRDefault="005A58CF" w:rsidP="005A58CF">
      <w:r>
        <w:t xml:space="preserve">The Crisis Response Committee is responsible for responding to the crisis. </w:t>
      </w:r>
    </w:p>
    <w:p w:rsidR="005A58CF" w:rsidRDefault="005A58CF" w:rsidP="005A58CF"/>
    <w:p w:rsidR="005A58CF" w:rsidRPr="00AE4258" w:rsidRDefault="005A58CF" w:rsidP="005A58CF">
      <w:pPr>
        <w:pStyle w:val="Heading2"/>
      </w:pPr>
      <w:r w:rsidRPr="00AE4258">
        <w:t>Proce</w:t>
      </w:r>
      <w:r>
        <w:t>dur</w:t>
      </w:r>
      <w:r w:rsidRPr="00AE4258">
        <w:t>es</w:t>
      </w:r>
    </w:p>
    <w:p w:rsidR="005A58CF" w:rsidRPr="00BE3232" w:rsidRDefault="005A58CF" w:rsidP="005A58CF">
      <w:pPr>
        <w:numPr>
          <w:ilvl w:val="0"/>
          <w:numId w:val="8"/>
        </w:numPr>
        <w:contextualSpacing/>
        <w:rPr>
          <w:szCs w:val="22"/>
        </w:rPr>
      </w:pPr>
      <w:r w:rsidRPr="00BE3232">
        <w:rPr>
          <w:szCs w:val="22"/>
        </w:rPr>
        <w:t xml:space="preserve">The </w:t>
      </w:r>
      <w:r>
        <w:rPr>
          <w:szCs w:val="22"/>
        </w:rPr>
        <w:t>B</w:t>
      </w:r>
      <w:r w:rsidRPr="00BE3232">
        <w:rPr>
          <w:szCs w:val="22"/>
        </w:rPr>
        <w:t xml:space="preserve">oard shall establish a Crisis Response Committee consisting of the </w:t>
      </w:r>
      <w:r>
        <w:rPr>
          <w:szCs w:val="22"/>
        </w:rPr>
        <w:t>C</w:t>
      </w:r>
      <w:r w:rsidR="00D9197A">
        <w:rPr>
          <w:szCs w:val="22"/>
        </w:rPr>
        <w:t>hair, the Executive officer</w:t>
      </w:r>
      <w:r w:rsidRPr="00BE3232">
        <w:rPr>
          <w:szCs w:val="22"/>
        </w:rPr>
        <w:t>, the Health and Safety Coordinator and the Communications Officer</w:t>
      </w:r>
      <w:r>
        <w:rPr>
          <w:szCs w:val="22"/>
        </w:rPr>
        <w:t xml:space="preserve">. All members of the Committee must be </w:t>
      </w:r>
      <w:r w:rsidRPr="00BE3232">
        <w:rPr>
          <w:szCs w:val="22"/>
        </w:rPr>
        <w:t xml:space="preserve">prepared to meet at short notice.  </w:t>
      </w:r>
    </w:p>
    <w:p w:rsidR="005A58CF" w:rsidRPr="00BE3232" w:rsidRDefault="005A58CF" w:rsidP="005A58CF">
      <w:pPr>
        <w:numPr>
          <w:ilvl w:val="0"/>
          <w:numId w:val="8"/>
        </w:numPr>
        <w:contextualSpacing/>
        <w:rPr>
          <w:szCs w:val="22"/>
        </w:rPr>
      </w:pPr>
      <w:r w:rsidRPr="00BE3232">
        <w:rPr>
          <w:szCs w:val="22"/>
        </w:rPr>
        <w:t xml:space="preserve">The </w:t>
      </w:r>
      <w:r>
        <w:rPr>
          <w:szCs w:val="22"/>
        </w:rPr>
        <w:t>Board</w:t>
      </w:r>
      <w:r w:rsidRPr="00BE3232">
        <w:rPr>
          <w:szCs w:val="22"/>
        </w:rPr>
        <w:t xml:space="preserve"> shall delegate to the Crisis Response Committee the authority to take action to facilitate the management of the crisis if required urgently.   </w:t>
      </w:r>
    </w:p>
    <w:p w:rsidR="005A58CF" w:rsidRPr="00BE3232" w:rsidRDefault="005A58CF" w:rsidP="005A58CF">
      <w:pPr>
        <w:numPr>
          <w:ilvl w:val="0"/>
          <w:numId w:val="8"/>
        </w:numPr>
        <w:contextualSpacing/>
        <w:rPr>
          <w:szCs w:val="22"/>
        </w:rPr>
      </w:pPr>
      <w:r w:rsidRPr="00BE3232">
        <w:rPr>
          <w:szCs w:val="22"/>
        </w:rPr>
        <w:t>Members of the Crisis Response Committee shall maintain records of the contact details (phone, mobile phone, fax, and email) of all other members.  On being informed of any crisis situation</w:t>
      </w:r>
      <w:r>
        <w:rPr>
          <w:szCs w:val="22"/>
        </w:rPr>
        <w:t>,</w:t>
      </w:r>
      <w:r w:rsidRPr="00BE3232">
        <w:rPr>
          <w:szCs w:val="22"/>
        </w:rPr>
        <w:t xml:space="preserve"> the Crisis Response Committee shall arrange to meet, in person or electronically.  </w:t>
      </w:r>
    </w:p>
    <w:p w:rsidR="005A58CF" w:rsidRPr="00BE3232" w:rsidRDefault="005A58CF" w:rsidP="005A58CF">
      <w:pPr>
        <w:numPr>
          <w:ilvl w:val="0"/>
          <w:numId w:val="8"/>
        </w:numPr>
        <w:contextualSpacing/>
        <w:rPr>
          <w:szCs w:val="22"/>
        </w:rPr>
      </w:pPr>
      <w:r w:rsidRPr="00BE3232">
        <w:rPr>
          <w:szCs w:val="22"/>
        </w:rPr>
        <w:t xml:space="preserve">The Crisis Response Committee shall </w:t>
      </w:r>
    </w:p>
    <w:p w:rsidR="005A58CF" w:rsidRPr="00BE3232" w:rsidRDefault="005A58CF" w:rsidP="005A58CF">
      <w:pPr>
        <w:numPr>
          <w:ilvl w:val="0"/>
          <w:numId w:val="9"/>
        </w:numPr>
        <w:contextualSpacing/>
        <w:rPr>
          <w:szCs w:val="22"/>
        </w:rPr>
      </w:pPr>
      <w:r w:rsidRPr="00BE3232">
        <w:rPr>
          <w:szCs w:val="22"/>
        </w:rPr>
        <w:t xml:space="preserve">Ascertain the nature and extent of any damage to the </w:t>
      </w:r>
      <w:proofErr w:type="spellStart"/>
      <w:r w:rsidRPr="00BE3232">
        <w:rPr>
          <w:szCs w:val="22"/>
        </w:rPr>
        <w:t>organisation</w:t>
      </w:r>
      <w:proofErr w:type="spellEnd"/>
    </w:p>
    <w:p w:rsidR="005A58CF" w:rsidRPr="00BE3232" w:rsidRDefault="005A58CF" w:rsidP="005A58CF">
      <w:pPr>
        <w:numPr>
          <w:ilvl w:val="0"/>
          <w:numId w:val="9"/>
        </w:numPr>
        <w:contextualSpacing/>
        <w:rPr>
          <w:szCs w:val="22"/>
        </w:rPr>
      </w:pPr>
      <w:r w:rsidRPr="00BE3232">
        <w:rPr>
          <w:szCs w:val="22"/>
        </w:rPr>
        <w:t xml:space="preserve">coordinate the </w:t>
      </w:r>
      <w:proofErr w:type="spellStart"/>
      <w:r w:rsidRPr="00BE3232">
        <w:rPr>
          <w:szCs w:val="22"/>
        </w:rPr>
        <w:t>organisation’s</w:t>
      </w:r>
      <w:proofErr w:type="spellEnd"/>
      <w:r w:rsidRPr="00BE3232">
        <w:rPr>
          <w:szCs w:val="22"/>
        </w:rPr>
        <w:t xml:space="preserve"> media response</w:t>
      </w:r>
    </w:p>
    <w:p w:rsidR="005A58CF" w:rsidRPr="00BE3232" w:rsidRDefault="005A58CF" w:rsidP="005A58CF">
      <w:pPr>
        <w:numPr>
          <w:ilvl w:val="0"/>
          <w:numId w:val="9"/>
        </w:numPr>
        <w:contextualSpacing/>
        <w:rPr>
          <w:szCs w:val="22"/>
        </w:rPr>
      </w:pPr>
      <w:proofErr w:type="gramStart"/>
      <w:r w:rsidRPr="00BE3232">
        <w:rPr>
          <w:szCs w:val="22"/>
        </w:rPr>
        <w:t>institute</w:t>
      </w:r>
      <w:proofErr w:type="gramEnd"/>
      <w:r w:rsidRPr="00BE3232">
        <w:rPr>
          <w:szCs w:val="22"/>
        </w:rPr>
        <w:t xml:space="preserve"> any urgent recovery procedures</w:t>
      </w:r>
      <w:r>
        <w:rPr>
          <w:szCs w:val="22"/>
        </w:rPr>
        <w:t>.</w:t>
      </w:r>
    </w:p>
    <w:p w:rsidR="005A58CF" w:rsidRPr="00BE3232" w:rsidRDefault="005A58CF" w:rsidP="005A58CF">
      <w:pPr>
        <w:numPr>
          <w:ilvl w:val="0"/>
          <w:numId w:val="8"/>
        </w:numPr>
        <w:contextualSpacing/>
        <w:rPr>
          <w:szCs w:val="22"/>
        </w:rPr>
      </w:pPr>
      <w:r w:rsidRPr="00BE3232">
        <w:rPr>
          <w:szCs w:val="22"/>
        </w:rPr>
        <w:t xml:space="preserve">The Crisis Response Committee shall return to the standard policy and managerial framework at the first feasible opportunity. </w:t>
      </w:r>
    </w:p>
    <w:p w:rsidR="005A58CF" w:rsidRDefault="005A58CF" w:rsidP="005A58CF">
      <w:pPr>
        <w:numPr>
          <w:ilvl w:val="0"/>
          <w:numId w:val="8"/>
        </w:numPr>
        <w:contextualSpacing/>
        <w:rPr>
          <w:szCs w:val="22"/>
        </w:rPr>
      </w:pPr>
      <w:r w:rsidRPr="00BE3232">
        <w:rPr>
          <w:szCs w:val="22"/>
        </w:rPr>
        <w:t xml:space="preserve">The Crisis Response Committee shall call a </w:t>
      </w:r>
      <w:r>
        <w:rPr>
          <w:szCs w:val="22"/>
        </w:rPr>
        <w:t>Board</w:t>
      </w:r>
      <w:r w:rsidRPr="00BE3232">
        <w:rPr>
          <w:szCs w:val="22"/>
        </w:rPr>
        <w:t xml:space="preserve"> meeting at the first feasible opportunity and report on any actions taken. </w:t>
      </w:r>
    </w:p>
    <w:p w:rsidR="005A58CF" w:rsidRPr="00AE4258" w:rsidRDefault="005A58CF" w:rsidP="005A58CF">
      <w:pPr>
        <w:pStyle w:val="Heading2"/>
      </w:pPr>
      <w:r w:rsidRPr="00AE4258">
        <w:t>Related Documents</w:t>
      </w:r>
    </w:p>
    <w:p w:rsidR="005A58CF" w:rsidRPr="00BE3232" w:rsidRDefault="005A58CF" w:rsidP="005A58CF">
      <w:pPr>
        <w:pStyle w:val="Subtitle"/>
        <w:numPr>
          <w:ilvl w:val="0"/>
          <w:numId w:val="11"/>
        </w:numPr>
        <w:spacing w:before="60" w:after="100"/>
        <w:ind w:left="709" w:hanging="284"/>
        <w:contextualSpacing/>
        <w:rPr>
          <w:rFonts w:ascii="Calibri" w:hAnsi="Calibri" w:cs="Arial"/>
          <w:b w:val="0"/>
          <w:bCs/>
          <w:szCs w:val="22"/>
        </w:rPr>
      </w:pPr>
      <w:r w:rsidRPr="00BE3232">
        <w:rPr>
          <w:rFonts w:ascii="Calibri" w:hAnsi="Calibri" w:cs="Arial"/>
          <w:b w:val="0"/>
          <w:bCs/>
          <w:szCs w:val="22"/>
        </w:rPr>
        <w:t>Workplace Occupational Health and Safety Policy</w:t>
      </w:r>
    </w:p>
    <w:p w:rsidR="005A58CF" w:rsidRPr="00BE3232" w:rsidRDefault="005A58CF" w:rsidP="005A58CF">
      <w:pPr>
        <w:pStyle w:val="Subtitle"/>
        <w:numPr>
          <w:ilvl w:val="0"/>
          <w:numId w:val="11"/>
        </w:numPr>
        <w:spacing w:before="60" w:after="100"/>
        <w:ind w:left="709" w:hanging="284"/>
        <w:contextualSpacing/>
        <w:rPr>
          <w:rFonts w:ascii="Calibri" w:hAnsi="Calibri" w:cs="Arial"/>
          <w:b w:val="0"/>
          <w:bCs/>
          <w:szCs w:val="22"/>
        </w:rPr>
      </w:pPr>
      <w:r w:rsidRPr="00BE3232">
        <w:rPr>
          <w:rFonts w:ascii="Calibri" w:hAnsi="Calibri" w:cs="Arial"/>
          <w:b w:val="0"/>
          <w:bCs/>
          <w:szCs w:val="22"/>
        </w:rPr>
        <w:t>Media Relations Policy</w:t>
      </w:r>
    </w:p>
    <w:p w:rsidR="005A58CF" w:rsidRPr="00AE4258" w:rsidRDefault="005A58CF" w:rsidP="005A58CF">
      <w:pPr>
        <w:pStyle w:val="Heading2"/>
      </w:pPr>
      <w:r w:rsidRPr="00AE4258">
        <w:t>Authorisation</w:t>
      </w:r>
    </w:p>
    <w:p w:rsidR="005A58CF" w:rsidRDefault="00526213" w:rsidP="005A58CF">
      <w:pPr>
        <w:rPr>
          <w:color w:val="808080"/>
          <w:szCs w:val="22"/>
        </w:rPr>
      </w:pPr>
      <w:r>
        <w:rPr>
          <w:color w:val="808080"/>
          <w:szCs w:val="22"/>
        </w:rPr>
        <w:t>____________</w:t>
      </w:r>
      <w:r w:rsidR="005A58CF">
        <w:rPr>
          <w:color w:val="808080"/>
          <w:szCs w:val="22"/>
        </w:rPr>
        <w:br/>
      </w:r>
      <w:r>
        <w:rPr>
          <w:color w:val="808080"/>
          <w:szCs w:val="22"/>
        </w:rPr>
        <w:t>Chair</w:t>
      </w:r>
      <w:r w:rsidR="005A58CF">
        <w:rPr>
          <w:color w:val="808080"/>
          <w:szCs w:val="22"/>
        </w:rPr>
        <w:br/>
      </w:r>
      <w:r w:rsidR="000101E4">
        <w:rPr>
          <w:color w:val="808080"/>
          <w:szCs w:val="22"/>
        </w:rPr>
        <w:t>19</w:t>
      </w:r>
      <w:r w:rsidRPr="00526213">
        <w:rPr>
          <w:color w:val="808080"/>
          <w:szCs w:val="22"/>
          <w:vertAlign w:val="superscript"/>
        </w:rPr>
        <w:t>th</w:t>
      </w:r>
      <w:r>
        <w:rPr>
          <w:color w:val="808080"/>
          <w:szCs w:val="22"/>
        </w:rPr>
        <w:t xml:space="preserve"> Ma</w:t>
      </w:r>
      <w:r w:rsidR="000101E4">
        <w:rPr>
          <w:color w:val="808080"/>
          <w:szCs w:val="22"/>
        </w:rPr>
        <w:t xml:space="preserve">y </w:t>
      </w:r>
      <w:r>
        <w:rPr>
          <w:color w:val="808080"/>
          <w:szCs w:val="22"/>
        </w:rPr>
        <w:t>2014</w:t>
      </w:r>
    </w:p>
    <w:p w:rsidR="005A58CF" w:rsidRPr="00E5743B" w:rsidRDefault="008B6006" w:rsidP="005A58CF">
      <w:r>
        <w:rPr>
          <w:color w:val="808080"/>
          <w:szCs w:val="22"/>
        </w:rPr>
        <w:t xml:space="preserve">Edmund Rice Justice </w:t>
      </w:r>
      <w:proofErr w:type="spellStart"/>
      <w:r>
        <w:rPr>
          <w:color w:val="808080"/>
          <w:szCs w:val="22"/>
        </w:rPr>
        <w:t>Aotearoa</w:t>
      </w:r>
      <w:proofErr w:type="spellEnd"/>
      <w:r>
        <w:rPr>
          <w:color w:val="808080"/>
          <w:szCs w:val="22"/>
        </w:rPr>
        <w:t xml:space="preserve"> New Zealand Trust</w:t>
      </w:r>
    </w:p>
    <w:sectPr w:rsidR="005A58CF" w:rsidRPr="00E5743B" w:rsidSect="00F20236">
      <w:head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24" w:rsidRDefault="004B4E24" w:rsidP="00907A43">
      <w:pPr>
        <w:spacing w:before="0" w:after="0"/>
      </w:pPr>
      <w:r>
        <w:separator/>
      </w:r>
    </w:p>
  </w:endnote>
  <w:endnote w:type="continuationSeparator" w:id="0">
    <w:p w:rsidR="004B4E24" w:rsidRDefault="004B4E24" w:rsidP="00907A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E4" w:rsidRDefault="000101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CF" w:rsidRPr="00CD4234" w:rsidRDefault="005A58CF" w:rsidP="00AA6AFF">
    <w:pPr>
      <w:pStyle w:val="Footer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CF" w:rsidRPr="00BE3232" w:rsidRDefault="005A58CF" w:rsidP="003755BC">
    <w:pPr>
      <w:pStyle w:val="Footer"/>
      <w:jc w:val="both"/>
      <w:rPr>
        <w:color w:val="7F7F7F"/>
        <w:sz w:val="16"/>
        <w:szCs w:val="16"/>
      </w:rPr>
    </w:pPr>
    <w:r w:rsidRPr="00BE3232">
      <w:rPr>
        <w:color w:val="7F7F7F"/>
        <w:sz w:val="20"/>
        <w:szCs w:val="20"/>
      </w:rPr>
      <w:br/>
    </w:r>
  </w:p>
  <w:tbl>
    <w:tblPr>
      <w:tblW w:w="86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2098"/>
      <w:gridCol w:w="2126"/>
      <w:gridCol w:w="2268"/>
      <w:gridCol w:w="2155"/>
    </w:tblGrid>
    <w:tr w:rsidR="005A58CF" w:rsidRPr="00E37BF2" w:rsidTr="009A3579">
      <w:tc>
        <w:tcPr>
          <w:tcW w:w="2098" w:type="dxa"/>
          <w:shd w:val="clear" w:color="auto" w:fill="E0E0E0"/>
        </w:tcPr>
        <w:p w:rsidR="005A58CF" w:rsidRPr="00F97E37" w:rsidRDefault="00C24721" w:rsidP="005A58CF">
          <w:pPr>
            <w:pStyle w:val="PlainText"/>
            <w:spacing w:before="60" w:after="120"/>
            <w:rPr>
              <w:rFonts w:ascii="Calibri" w:hAnsi="Calibri" w:cs="Arial"/>
              <w:szCs w:val="24"/>
              <w:lang w:val="en-US" w:eastAsia="en-US"/>
            </w:rPr>
          </w:pPr>
          <w:r>
            <w:rPr>
              <w:rFonts w:ascii="Calibri" w:hAnsi="Calibri" w:cs="Arial"/>
              <w:szCs w:val="24"/>
              <w:lang w:val="en-US" w:eastAsia="en-US"/>
            </w:rPr>
            <w:t>Procedure</w:t>
          </w:r>
          <w:r w:rsidR="005A58CF" w:rsidRPr="00F97E37">
            <w:rPr>
              <w:rFonts w:ascii="Calibri" w:hAnsi="Calibri" w:cs="Arial"/>
              <w:szCs w:val="24"/>
              <w:lang w:val="en-US" w:eastAsia="en-US"/>
            </w:rPr>
            <w:t xml:space="preserve"> number</w:t>
          </w:r>
        </w:p>
      </w:tc>
      <w:tc>
        <w:tcPr>
          <w:tcW w:w="2126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color w:val="808080"/>
              <w:szCs w:val="24"/>
              <w:lang w:val="en-US" w:eastAsia="en-US"/>
            </w:rPr>
          </w:pPr>
          <w:r>
            <w:rPr>
              <w:rFonts w:ascii="Calibri" w:hAnsi="Calibri" w:cs="Arial"/>
              <w:color w:val="808080"/>
              <w:szCs w:val="24"/>
              <w:lang w:val="en-US" w:eastAsia="en-US"/>
            </w:rPr>
            <w:t>ERJ 1.6</w:t>
          </w:r>
        </w:p>
      </w:tc>
      <w:tc>
        <w:tcPr>
          <w:tcW w:w="2268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szCs w:val="24"/>
              <w:lang w:val="en-US" w:eastAsia="en-US"/>
            </w:rPr>
          </w:pPr>
          <w:r w:rsidRPr="00F97E37">
            <w:rPr>
              <w:rFonts w:ascii="Calibri" w:hAnsi="Calibri" w:cs="Arial"/>
              <w:szCs w:val="24"/>
              <w:lang w:val="en-US" w:eastAsia="en-US"/>
            </w:rPr>
            <w:t>Version</w:t>
          </w:r>
        </w:p>
      </w:tc>
      <w:tc>
        <w:tcPr>
          <w:tcW w:w="2155" w:type="dxa"/>
          <w:shd w:val="clear" w:color="auto" w:fill="E0E0E0"/>
        </w:tcPr>
        <w:p w:rsidR="005A58CF" w:rsidRPr="00F97E37" w:rsidRDefault="000101E4" w:rsidP="005A58CF">
          <w:pPr>
            <w:pStyle w:val="PlainText"/>
            <w:spacing w:before="60" w:after="120"/>
            <w:rPr>
              <w:rFonts w:ascii="Calibri" w:hAnsi="Calibri" w:cs="Arial"/>
              <w:color w:val="808080"/>
              <w:szCs w:val="24"/>
              <w:lang w:val="en-US" w:eastAsia="en-US"/>
            </w:rPr>
          </w:pPr>
          <w:r>
            <w:rPr>
              <w:rFonts w:ascii="Calibri" w:hAnsi="Calibri" w:cs="Arial"/>
              <w:color w:val="808080"/>
              <w:szCs w:val="24"/>
              <w:lang w:val="en-US" w:eastAsia="en-US"/>
            </w:rPr>
            <w:t>2</w:t>
          </w:r>
        </w:p>
      </w:tc>
    </w:tr>
    <w:tr w:rsidR="005A58CF" w:rsidRPr="00E37BF2" w:rsidTr="009A3579">
      <w:tc>
        <w:tcPr>
          <w:tcW w:w="2098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szCs w:val="24"/>
              <w:lang w:val="en-US" w:eastAsia="en-US"/>
            </w:rPr>
          </w:pPr>
          <w:r w:rsidRPr="00F97E37">
            <w:rPr>
              <w:rFonts w:ascii="Calibri" w:hAnsi="Calibri" w:cs="Arial"/>
              <w:szCs w:val="24"/>
              <w:lang w:val="en-US" w:eastAsia="en-US"/>
            </w:rPr>
            <w:t>Drafted by</w:t>
          </w:r>
        </w:p>
      </w:tc>
      <w:tc>
        <w:tcPr>
          <w:tcW w:w="2126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color w:val="808080"/>
              <w:szCs w:val="24"/>
              <w:lang w:val="en-US" w:eastAsia="en-US"/>
            </w:rPr>
          </w:pPr>
          <w:r>
            <w:rPr>
              <w:rFonts w:ascii="Calibri" w:hAnsi="Calibri" w:cs="Arial"/>
              <w:color w:val="808080"/>
              <w:szCs w:val="24"/>
              <w:lang w:val="en-US" w:eastAsia="en-US"/>
            </w:rPr>
            <w:t>Paul Robertson</w:t>
          </w:r>
        </w:p>
      </w:tc>
      <w:tc>
        <w:tcPr>
          <w:tcW w:w="2268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szCs w:val="24"/>
              <w:lang w:val="en-US" w:eastAsia="en-US"/>
            </w:rPr>
          </w:pPr>
          <w:r w:rsidRPr="00F97E37">
            <w:rPr>
              <w:rFonts w:ascii="Calibri" w:hAnsi="Calibri" w:cs="Arial"/>
              <w:szCs w:val="24"/>
              <w:lang w:val="en-US" w:eastAsia="en-US"/>
            </w:rPr>
            <w:t>Approved by Board on</w:t>
          </w:r>
        </w:p>
      </w:tc>
      <w:tc>
        <w:tcPr>
          <w:tcW w:w="2155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color w:val="808080"/>
              <w:szCs w:val="24"/>
              <w:lang w:val="en-US" w:eastAsia="en-US"/>
            </w:rPr>
          </w:pPr>
        </w:p>
      </w:tc>
    </w:tr>
    <w:tr w:rsidR="005A58CF" w:rsidRPr="00E37BF2" w:rsidTr="009A3579">
      <w:tc>
        <w:tcPr>
          <w:tcW w:w="2098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szCs w:val="24"/>
              <w:lang w:val="en-US" w:eastAsia="en-US"/>
            </w:rPr>
          </w:pPr>
          <w:r>
            <w:rPr>
              <w:rFonts w:ascii="Calibri" w:hAnsi="Calibri" w:cs="Arial"/>
              <w:szCs w:val="24"/>
              <w:lang w:val="en-US" w:eastAsia="en-US"/>
            </w:rPr>
            <w:t>Approval Body</w:t>
          </w:r>
        </w:p>
      </w:tc>
      <w:tc>
        <w:tcPr>
          <w:tcW w:w="2126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color w:val="808080"/>
              <w:szCs w:val="24"/>
              <w:lang w:val="en-US" w:eastAsia="en-US"/>
            </w:rPr>
          </w:pPr>
          <w:r>
            <w:rPr>
              <w:rFonts w:ascii="Calibri" w:hAnsi="Calibri" w:cs="Arial"/>
              <w:color w:val="808080"/>
              <w:szCs w:val="24"/>
              <w:lang w:val="en-US" w:eastAsia="en-US"/>
            </w:rPr>
            <w:t>ERJANZ Trust Board</w:t>
          </w:r>
        </w:p>
      </w:tc>
      <w:tc>
        <w:tcPr>
          <w:tcW w:w="2268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szCs w:val="24"/>
              <w:lang w:val="en-US" w:eastAsia="en-US"/>
            </w:rPr>
          </w:pPr>
          <w:r w:rsidRPr="00F97E37">
            <w:rPr>
              <w:rFonts w:ascii="Calibri" w:hAnsi="Calibri" w:cs="Arial"/>
              <w:szCs w:val="24"/>
              <w:lang w:val="en-US" w:eastAsia="en-US"/>
            </w:rPr>
            <w:t>Scheduled review date</w:t>
          </w:r>
        </w:p>
      </w:tc>
      <w:tc>
        <w:tcPr>
          <w:tcW w:w="2155" w:type="dxa"/>
          <w:shd w:val="clear" w:color="auto" w:fill="E0E0E0"/>
        </w:tcPr>
        <w:p w:rsidR="005A58CF" w:rsidRPr="00F97E37" w:rsidRDefault="005A58CF" w:rsidP="005A58CF">
          <w:pPr>
            <w:pStyle w:val="PlainText"/>
            <w:spacing w:before="60" w:after="120"/>
            <w:rPr>
              <w:rFonts w:ascii="Calibri" w:hAnsi="Calibri" w:cs="Arial"/>
              <w:color w:val="808080"/>
              <w:szCs w:val="24"/>
              <w:lang w:val="en-US" w:eastAsia="en-US"/>
            </w:rPr>
          </w:pPr>
          <w:r>
            <w:rPr>
              <w:rFonts w:ascii="Calibri" w:hAnsi="Calibri" w:cs="Arial"/>
              <w:color w:val="808080"/>
              <w:szCs w:val="24"/>
              <w:lang w:val="en-US" w:eastAsia="en-US"/>
            </w:rPr>
            <w:t>March 2016</w:t>
          </w:r>
        </w:p>
      </w:tc>
    </w:tr>
  </w:tbl>
  <w:p w:rsidR="005A58CF" w:rsidRPr="00BE3232" w:rsidRDefault="005A58CF" w:rsidP="003755BC">
    <w:pPr>
      <w:pStyle w:val="Footer"/>
      <w:jc w:val="both"/>
      <w:rPr>
        <w:color w:val="7F7F7F"/>
        <w:sz w:val="16"/>
        <w:szCs w:val="16"/>
      </w:rPr>
    </w:pPr>
    <w:r w:rsidRPr="00BE3232">
      <w:rPr>
        <w:color w:val="7F7F7F"/>
        <w:sz w:val="16"/>
        <w:szCs w:val="16"/>
      </w:rPr>
      <w:t>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24" w:rsidRDefault="004B4E24" w:rsidP="00907A43">
      <w:pPr>
        <w:spacing w:before="0" w:after="0"/>
      </w:pPr>
      <w:r>
        <w:separator/>
      </w:r>
    </w:p>
  </w:footnote>
  <w:footnote w:type="continuationSeparator" w:id="0">
    <w:p w:rsidR="004B4E24" w:rsidRDefault="004B4E24" w:rsidP="00907A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E4" w:rsidRDefault="00010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E4" w:rsidRDefault="000101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CF" w:rsidRDefault="005A58C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74E270C2" wp14:editId="2E0CB7AA">
          <wp:simplePos x="0" y="0"/>
          <wp:positionH relativeFrom="column">
            <wp:posOffset>2400300</wp:posOffset>
          </wp:positionH>
          <wp:positionV relativeFrom="paragraph">
            <wp:posOffset>-314960</wp:posOffset>
          </wp:positionV>
          <wp:extent cx="3810000" cy="1028700"/>
          <wp:effectExtent l="0" t="0" r="0" b="0"/>
          <wp:wrapSquare wrapText="bothSides"/>
          <wp:docPr id="3" name="Picture 3" descr="400x300-ER-Justice-Aotearo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00x300-ER-Justice-Aotearo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31" w:rsidRDefault="004B4E2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63" w:rsidRDefault="00834BB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390243E6" wp14:editId="26F39032">
          <wp:simplePos x="0" y="0"/>
          <wp:positionH relativeFrom="column">
            <wp:posOffset>2476500</wp:posOffset>
          </wp:positionH>
          <wp:positionV relativeFrom="paragraph">
            <wp:posOffset>-353060</wp:posOffset>
          </wp:positionV>
          <wp:extent cx="3810000" cy="1028700"/>
          <wp:effectExtent l="0" t="0" r="0" b="0"/>
          <wp:wrapSquare wrapText="bothSides"/>
          <wp:docPr id="6" name="Picture 6" descr="400x300-ER-Justice-Aotearo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00x300-ER-Justice-Aotearo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2EC"/>
    <w:multiLevelType w:val="hybridMultilevel"/>
    <w:tmpl w:val="48D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EBA"/>
    <w:multiLevelType w:val="hybridMultilevel"/>
    <w:tmpl w:val="089E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645FF"/>
    <w:multiLevelType w:val="multilevel"/>
    <w:tmpl w:val="67D85D94"/>
    <w:styleLink w:val="StyleBulleted2"/>
    <w:lvl w:ilvl="0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447D428D"/>
    <w:multiLevelType w:val="multilevel"/>
    <w:tmpl w:val="67D85D94"/>
    <w:numStyleLink w:val="StyleBulleted2"/>
  </w:abstractNum>
  <w:abstractNum w:abstractNumId="4">
    <w:nsid w:val="4C8A0F42"/>
    <w:multiLevelType w:val="hybridMultilevel"/>
    <w:tmpl w:val="3598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E0867"/>
    <w:multiLevelType w:val="hybridMultilevel"/>
    <w:tmpl w:val="3672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3232"/>
    <w:multiLevelType w:val="hybridMultilevel"/>
    <w:tmpl w:val="D85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C55BC"/>
    <w:multiLevelType w:val="hybridMultilevel"/>
    <w:tmpl w:val="AC3ABE9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C2082"/>
    <w:multiLevelType w:val="hybridMultilevel"/>
    <w:tmpl w:val="552C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20C17"/>
    <w:multiLevelType w:val="hybridMultilevel"/>
    <w:tmpl w:val="25DCB596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815DF"/>
    <w:multiLevelType w:val="hybridMultilevel"/>
    <w:tmpl w:val="6AE8A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3"/>
    <w:rsid w:val="000101E4"/>
    <w:rsid w:val="001A311A"/>
    <w:rsid w:val="00426CCD"/>
    <w:rsid w:val="004A1163"/>
    <w:rsid w:val="004B4E24"/>
    <w:rsid w:val="00526213"/>
    <w:rsid w:val="00547C30"/>
    <w:rsid w:val="005A58CF"/>
    <w:rsid w:val="005F347A"/>
    <w:rsid w:val="006E32E5"/>
    <w:rsid w:val="00834BB2"/>
    <w:rsid w:val="00846775"/>
    <w:rsid w:val="008B6006"/>
    <w:rsid w:val="00907A43"/>
    <w:rsid w:val="00973D19"/>
    <w:rsid w:val="009C345E"/>
    <w:rsid w:val="00A879DC"/>
    <w:rsid w:val="00B51AD8"/>
    <w:rsid w:val="00B77A75"/>
    <w:rsid w:val="00C24721"/>
    <w:rsid w:val="00D76319"/>
    <w:rsid w:val="00D9197A"/>
    <w:rsid w:val="00DC379E"/>
    <w:rsid w:val="00DE71C6"/>
    <w:rsid w:val="00F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C3D6C-A8B3-496C-9160-EF839B9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43"/>
    <w:pPr>
      <w:spacing w:before="60"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43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7A43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43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07A43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nhideWhenUsed/>
    <w:rsid w:val="00907A43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7A43"/>
    <w:rPr>
      <w:rFonts w:ascii="Calibri" w:eastAsia="MS Mincho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7A43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7A43"/>
    <w:rPr>
      <w:rFonts w:ascii="Calibri" w:eastAsia="MS Mincho" w:hAnsi="Calibri" w:cs="Times New Roman"/>
      <w:szCs w:val="24"/>
      <w:lang w:val="en-US"/>
    </w:rPr>
  </w:style>
  <w:style w:type="paragraph" w:styleId="PlainText">
    <w:name w:val="Plain Text"/>
    <w:basedOn w:val="Normal"/>
    <w:link w:val="PlainTextChar"/>
    <w:rsid w:val="00907A43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basedOn w:val="DefaultParagraphFont"/>
    <w:link w:val="PlainText"/>
    <w:rsid w:val="00907A43"/>
    <w:rPr>
      <w:rFonts w:ascii="Book Antiqua" w:eastAsia="Times New Roman" w:hAnsi="Book Antiqua" w:cs="Times New Roman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5A58CF"/>
    <w:pPr>
      <w:spacing w:before="0" w:after="0"/>
      <w:jc w:val="both"/>
    </w:pPr>
    <w:rPr>
      <w:rFonts w:ascii="Arial" w:eastAsia="Times New Roman" w:hAnsi="Arial"/>
      <w:b/>
      <w:szCs w:val="20"/>
      <w:lang w:val="en-AU" w:eastAsia="x-none"/>
    </w:rPr>
  </w:style>
  <w:style w:type="character" w:customStyle="1" w:styleId="SubtitleChar">
    <w:name w:val="Subtitle Char"/>
    <w:basedOn w:val="DefaultParagraphFont"/>
    <w:link w:val="Subtitle"/>
    <w:rsid w:val="005A58CF"/>
    <w:rPr>
      <w:rFonts w:ascii="Arial" w:eastAsia="Times New Roman" w:hAnsi="Arial" w:cs="Times New Roman"/>
      <w:b/>
      <w:szCs w:val="20"/>
      <w:lang w:eastAsia="x-none"/>
    </w:rPr>
  </w:style>
  <w:style w:type="numbering" w:customStyle="1" w:styleId="StyleBulleted2">
    <w:name w:val="Style Bulleted2"/>
    <w:basedOn w:val="NoList"/>
    <w:rsid w:val="005A58C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Robertson</dc:creator>
  <cp:keywords/>
  <dc:description/>
  <cp:lastModifiedBy>Paul Robertson</cp:lastModifiedBy>
  <cp:revision>11</cp:revision>
  <dcterms:created xsi:type="dcterms:W3CDTF">2014-02-28T00:44:00Z</dcterms:created>
  <dcterms:modified xsi:type="dcterms:W3CDTF">2014-05-15T23:50:00Z</dcterms:modified>
</cp:coreProperties>
</file>